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KIMBERLY IACOVELLA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4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917-499-6280 | kim@iacovella.com | Brooklyn, NY 11215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999999" w:space="0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999999" w:space="0" w:sz="4" w:val="single"/>
        </w:pBd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rtl w:val="0"/>
        </w:rPr>
        <w:t xml:space="preserve">Transformational program leader with 20+ years driving strategic initiatives and large-scale change management in highly-regulated financial services. Expert at translating business strategy into executable programs, with proven success leading enterprise platform implementations, building global teams, and delivering operational excellence. Demonstrated expertise in cross-functional stakeholder engagement, resource planning, and governance in global banking environments. MBA (NYU), PMP certified, PSM I certified.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999999" w:space="0" w:sz="4" w:val="single"/>
        </w:pBd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0"/>
          <w:szCs w:val="20"/>
          <w:rtl w:val="0"/>
        </w:rPr>
        <w:t xml:space="preserve">Strategic Leadership: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Program Management | Change Management | Business Transformation | Strategic Planning | Cross-Functional Collaboration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0"/>
          <w:szCs w:val="20"/>
          <w:rtl w:val="0"/>
        </w:rPr>
        <w:t xml:space="preserve">Financial Services Expertise: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Risk Management | Regulatory Compliance | Internal Audit | Governance &amp; Committee Oversight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0"/>
          <w:szCs w:val="20"/>
          <w:rtl w:val="0"/>
        </w:rPr>
        <w:t xml:space="preserve">Delivery Excellence: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Project Lifecycle Management | Go-Live Execution | Resource Scheduling | Performance Metrics &amp; Dashboards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999999" w:space="0" w:sz="4" w:val="single"/>
        </w:pBd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1"/>
          <w:szCs w:val="21"/>
          <w:rtl w:val="0"/>
        </w:rPr>
        <w:t xml:space="preserve">Volunteer Operations Consultant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right" w:leader="none" w:pos="10800"/>
        </w:tabs>
        <w:spacing w:after="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Early-Stage Climate Tech Startup (Pro Bono), Brooklyn, NY</w:t>
        <w:tab/>
        <w:t xml:space="preserve">2025–Present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5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Pro bono engagement supporting operations and technology buildout for a pre-revenue B2B SaaS startup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60" w:right="0" w:hanging="1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Advised on operational process design, data quality assurance workflows, and go-to-market planning for a vertical SaaS product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60" w:right="0" w:hanging="1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Managed product roadmap, sprint planning, and documentation in Notion; contributed to product requirements and user acceptance testing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60" w:right="0" w:hanging="1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Supported evaluation and implementation of project management, CRM, and workflow automation platforms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60" w:right="0" w:hanging="1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Building CRM infrastructure and sales operations processes to support go-to-market execution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1"/>
          <w:szCs w:val="21"/>
          <w:rtl w:val="0"/>
        </w:rPr>
        <w:t xml:space="preserve">Director – Internal Audit, Head of Resource Scheduling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10800"/>
        </w:tabs>
        <w:spacing w:after="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Citi, New York, NY</w:t>
        <w:tab/>
        <w:t xml:space="preserve">2022–2025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60" w:right="0" w:hanging="1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Led enterprise-wide digital platform transformation managing end-to-end implementation lifecycle from vendor selection through go-live deployment, achieving &gt;95% user adoption across 60+ countries, impacting 2,500+ global users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60" w:right="0" w:hanging="1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Built and led global centralized scheduling team, growing from 10 to 19 FTE across Canada, India, UK, and US; achieved 53% improvement in Manager Effectiveness scores (2022–2024)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60" w:right="0" w:hanging="1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Defined and drove resource scheduling approach including scheduling principles, procedures, key reports, and executive scorecard metrics cascaded department-wide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60" w:right="0" w:hanging="1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Designed KPIs and dashboards from the ground up, transitioning from manual reporting to Cognos and Tableau-enabled performance tracking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1"/>
          <w:szCs w:val="21"/>
          <w:rtl w:val="0"/>
        </w:rPr>
        <w:t xml:space="preserve">Senior Vice President – Internal Audit (CBNA)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10800"/>
        </w:tabs>
        <w:spacing w:after="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Citi, New York, NY</w:t>
        <w:tab/>
        <w:t xml:space="preserve">2021–2022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60" w:right="0" w:hanging="1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Designed data-driven, repeatable approach for inaugural CBNA legal entity assurance assessment covering governance, financials, regulations, IT applications, and third parties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60" w:right="0" w:hanging="1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Led department-wide data clean-up initiative addressing high-severity QA issue; achieved 100% on-time delivery across 120+ global audit executives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60" w:right="0" w:hanging="1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Project-managed Citi-wide strategic implementation within 37-day timeline, assuming PM role mid-flight to ensure program success and timely risk exposure reduction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1"/>
          <w:szCs w:val="21"/>
          <w:rtl w:val="0"/>
        </w:rPr>
        <w:t xml:space="preserve">Head of Strategy and Planning – Risk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right" w:leader="none" w:pos="10800"/>
        </w:tabs>
        <w:spacing w:after="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Apple Bank for Savings, New York, NY</w:t>
        <w:tab/>
        <w:t xml:space="preserve">2018–2021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5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Chief of Staff to Chief Risk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60" w:right="0" w:hanging="1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Led development of comprehensive multi-year strategic workplan that successfully addressed regulatory feedback and transformation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60" w:right="0" w:hanging="1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Oversaw Board and Management Risk Committee operations including agenda development, decision documentation, and governance protocol alignment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60" w:right="0" w:hanging="1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Achieved 95% pass rate on Risk Management remediation closure packages covering model risk management (SR 11-7), ERM framework, and Risk Appetite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60" w:right="0" w:hanging="1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Managed confidential, independent credit risk management staffing analysis; led executive workshops and delivered key observations and recommendations to Board members and CEO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1"/>
          <w:szCs w:val="21"/>
          <w:rtl w:val="0"/>
        </w:rPr>
        <w:t xml:space="preserve">Vice President – Global Cards and Consumer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right" w:leader="none" w:pos="10800"/>
        </w:tabs>
        <w:spacing w:after="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Citi, New York, NY</w:t>
        <w:tab/>
        <w:t xml:space="preserve">2017–2018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5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Chief of Staff Office; FP&amp;A Manager supporting the CEO, Global Cards and Consumer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60" w:right="0" w:hanging="1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Aligned with key stakeholders on strategic messaging for CEO’s global Town Halls, regulatory meetings, potential investors, and Citi senior executives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1"/>
          <w:szCs w:val="21"/>
          <w:rtl w:val="0"/>
        </w:rPr>
        <w:t xml:space="preserve">Vice President – Internal Audit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10800"/>
        </w:tabs>
        <w:spacing w:after="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Citi, New York, NY</w:t>
        <w:tab/>
        <w:t xml:space="preserve">2014–2017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5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Chief of Staff for Retail, Mortgage, and Holdings IA group (global team of 200+ professionals)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60" w:right="0" w:hanging="1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Established and executed business routines for global operations; led annual strategic planning and quarterly update processes providing effective oversight and progress tracking against key initiatives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1"/>
          <w:szCs w:val="21"/>
          <w:rtl w:val="0"/>
        </w:rPr>
        <w:t xml:space="preserve">Assistant Vice President – Finance Change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10800"/>
        </w:tabs>
        <w:spacing w:after="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Barclays, New York, NY</w:t>
        <w:tab/>
        <w:t xml:space="preserve">2009–2012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60" w:right="0" w:hanging="1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Managed strategic projects using SDLC framework supporting global Finance operations (100+ personnel); led process and system improvement initiatives identifying operational efficiencies and facilitating controlled change implementation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1"/>
          <w:szCs w:val="21"/>
          <w:rtl w:val="0"/>
        </w:rPr>
        <w:t xml:space="preserve">Supervising Senior Consultant – Business Advisory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10800"/>
        </w:tabs>
        <w:spacing w:after="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Grant Thornton, New York, NY</w:t>
        <w:tab/>
        <w:t xml:space="preserve">2004–2009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60" w:right="0" w:hanging="1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Managed Sarbanes-Oxley compliance, internal audit, and vendor selection engagements across healthcare, consumer goods, biopharmaceuticals, financial services, and higher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60" w:right="0" w:hanging="1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Led internal audit engagement for major NYC hospital, demonstrating expertise in complex organizational change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1"/>
          <w:szCs w:val="21"/>
          <w:rtl w:val="0"/>
        </w:rPr>
        <w:t xml:space="preserve">Mathematics Educator, Grades 7–8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10800"/>
        </w:tabs>
        <w:spacing w:after="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NYC Department of Education, New York, NY</w:t>
        <w:tab/>
        <w:t xml:space="preserve">2002–2004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5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New York City Teaching Fellows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60" w:right="0" w:hanging="1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Selected for competitive NYC Teaching Fellows program; designed and delivered curriculum for 120+ students across two grade levels in underserved Bronx community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60" w:right="0" w:hanging="1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Developed data-driven instructional strategies to track student progress and adapt teaching methods to diverse learning needs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bottom w:color="999999" w:space="0" w:sz="4" w:val="single"/>
        </w:pBd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0"/>
          <w:szCs w:val="20"/>
          <w:rtl w:val="0"/>
        </w:rPr>
        <w:t xml:space="preserve">MBA: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New York University (Stern School of Business), 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0"/>
          <w:szCs w:val="20"/>
          <w:rtl w:val="0"/>
        </w:rPr>
        <w:t xml:space="preserve">MS, Mathematics Education: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Lehman College (CUNY), 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0"/>
          <w:szCs w:val="20"/>
          <w:rtl w:val="0"/>
        </w:rPr>
        <w:t xml:space="preserve">BS, Business Administration: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University of California, Berkeley, 2002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0"/>
          <w:szCs w:val="20"/>
          <w:rtl w:val="0"/>
        </w:rPr>
        <w:t xml:space="preserve">Study Abroad: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Hong Kong University of Science and Technology, 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0"/>
          <w:szCs w:val="20"/>
          <w:rtl w:val="0"/>
        </w:rPr>
        <w:t xml:space="preserve">Continuing Education: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Fashion Institute of Technology (FIT) – Content Design &amp; Research (current)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bottom w:color="999999" w:space="0" w:sz="4" w:val="single"/>
        </w:pBd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CERTIFICATIONS &amp; 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0"/>
          <w:szCs w:val="20"/>
          <w:rtl w:val="0"/>
        </w:rPr>
        <w:t xml:space="preserve">Certifications: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Project Management Professional (PMP), active since 2013 | Professional Scrum Master I (PSM I),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0"/>
          <w:szCs w:val="20"/>
          <w:rtl w:val="0"/>
        </w:rPr>
        <w:t xml:space="preserve">Methodologies: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Waterfall | SDLC | Agile/Scrum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0"/>
          <w:szCs w:val="20"/>
          <w:rtl w:val="0"/>
        </w:rPr>
        <w:t xml:space="preserve">Tools: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Tableau | Cognos | MS Project | JIRA | SharePoint | Visio | Saviom | Zoho | Notion | Advanced MS Office Suite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bottom w:color="999999" w:space="0" w:sz="4" w:val="single"/>
        </w:pBd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SELECTED ENDORSEMENTS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rtl w:val="0"/>
        </w:rPr>
        <w:t xml:space="preserve">Jayeeta Basu</w:t>
      </w:r>
      <w:r w:rsidDel="00000000" w:rsidR="00000000" w:rsidRPr="00000000">
        <w:rPr>
          <w:rFonts w:ascii="Arial" w:cs="Arial" w:eastAsia="Arial" w:hAnsi="Arial"/>
          <w:color w:val="555555"/>
          <w:rtl w:val="0"/>
        </w:rPr>
        <w:t xml:space="preserve">, Chief Auditor – Data, Citi (Former Manager) — 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rtl w:val="0"/>
        </w:rPr>
        <w:t xml:space="preserve">“One of the best execution drivers…meticulous, hard-working and hyper results-oriented”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rtl w:val="0"/>
        </w:rPr>
        <w:t xml:space="preserve">Erin Lewis</w:t>
      </w:r>
      <w:r w:rsidDel="00000000" w:rsidR="00000000" w:rsidRPr="00000000">
        <w:rPr>
          <w:rFonts w:ascii="Arial" w:cs="Arial" w:eastAsia="Arial" w:hAnsi="Arial"/>
          <w:color w:val="555555"/>
          <w:rtl w:val="0"/>
        </w:rPr>
        <w:t xml:space="preserve">, Director – Regulatory Management (Former Manager) — 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rtl w:val="0"/>
        </w:rPr>
        <w:t xml:space="preserve">“Stand out strengths…cultivate strong relationships and manage complex projects across multiple teams”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rtl w:val="0"/>
        </w:rPr>
        <w:t xml:space="preserve">Kevin Chou</w:t>
      </w:r>
      <w:r w:rsidDel="00000000" w:rsidR="00000000" w:rsidRPr="00000000">
        <w:rPr>
          <w:rFonts w:ascii="Arial" w:cs="Arial" w:eastAsia="Arial" w:hAnsi="Arial"/>
          <w:color w:val="555555"/>
          <w:rtl w:val="0"/>
        </w:rPr>
        <w:t xml:space="preserve">, Board of Trustees, UC Berkeley (Former Classmate) — 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rtl w:val="0"/>
        </w:rPr>
        <w:t xml:space="preserve">“Infectious enthusiasm, creative ideas, and tireless work ethic”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jc w:val="right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360" w:hanging="18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ou4Kh+CPcDcc+y6fTJ2EHDR1SA==">CgMxLjA4AHIhMWV0dnd5RnR2Y3UtOU9STlc3enAtaHR2UGVkUDk5ckJ6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2026-02-05T18:53:59.583Z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