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7261" w14:textId="77777777" w:rsidR="00AE714A" w:rsidRDefault="00000000">
      <w:r>
        <w:rPr>
          <w:rFonts w:ascii="Archivo" w:eastAsia="Archivo" w:hAnsi="Archivo" w:cs="Archivo"/>
          <w:b/>
          <w:bCs/>
          <w:color w:val="0F0F11"/>
          <w:spacing w:val="-6"/>
          <w:sz w:val="64"/>
          <w:szCs w:val="64"/>
        </w:rPr>
        <w:t>Bill Burkart</w:t>
      </w:r>
    </w:p>
    <w:p w14:paraId="2E1BBB8C" w14:textId="77777777" w:rsidR="00AE714A" w:rsidRDefault="00000000">
      <w:pPr>
        <w:spacing w:before="70"/>
      </w:pPr>
      <w:r>
        <w:rPr>
          <w:rFonts w:ascii="IBM Plex Mono" w:eastAsia="IBM Plex Mono" w:hAnsi="IBM Plex Mono" w:cs="IBM Plex Mono"/>
          <w:caps/>
          <w:color w:val="3A3A43"/>
          <w:spacing w:val="44"/>
          <w:sz w:val="16"/>
          <w:szCs w:val="16"/>
        </w:rPr>
        <w:t>Growth leadership across brand, data &amp; business</w:t>
      </w:r>
    </w:p>
    <w:p w14:paraId="78F6A832" w14:textId="77777777" w:rsidR="00AE714A" w:rsidRDefault="00000000">
      <w:pPr>
        <w:pBdr>
          <w:bottom w:val="single" w:sz="14" w:space="8" w:color="0F0F11"/>
        </w:pBdr>
        <w:spacing w:before="120" w:after="60"/>
      </w:pPr>
      <w:r>
        <w:rPr>
          <w:rFonts w:ascii="IBM Plex Mono" w:eastAsia="IBM Plex Mono" w:hAnsi="IBM Plex Mono" w:cs="IBM Plex Mono"/>
          <w:color w:val="71717C"/>
          <w:spacing w:val="6"/>
          <w:sz w:val="15"/>
          <w:szCs w:val="15"/>
        </w:rPr>
        <w:t xml:space="preserve">San Francisco Bay Area   ·   </w:t>
      </w:r>
      <w:hyperlink r:id="rId5">
        <w:r>
          <w:rPr>
            <w:rFonts w:ascii="IBM Plex Mono" w:eastAsia="IBM Plex Mono" w:hAnsi="IBM Plex Mono" w:cs="IBM Plex Mono"/>
            <w:color w:val="71717C"/>
            <w:spacing w:val="6"/>
            <w:sz w:val="15"/>
            <w:szCs w:val="15"/>
          </w:rPr>
          <w:t>williamburkart@yahoo.com</w:t>
        </w:r>
      </w:hyperlink>
      <w:r>
        <w:rPr>
          <w:rFonts w:ascii="IBM Plex Mono" w:eastAsia="IBM Plex Mono" w:hAnsi="IBM Plex Mono" w:cs="IBM Plex Mono"/>
          <w:color w:val="71717C"/>
          <w:spacing w:val="6"/>
          <w:sz w:val="15"/>
          <w:szCs w:val="15"/>
        </w:rPr>
        <w:t xml:space="preserve">   ·   </w:t>
      </w:r>
      <w:hyperlink r:id="rId6">
        <w:r>
          <w:rPr>
            <w:rFonts w:ascii="IBM Plex Mono" w:eastAsia="IBM Plex Mono" w:hAnsi="IBM Plex Mono" w:cs="IBM Plex Mono"/>
            <w:color w:val="71717C"/>
            <w:spacing w:val="6"/>
            <w:sz w:val="15"/>
            <w:szCs w:val="15"/>
          </w:rPr>
          <w:t>415.269.3863</w:t>
        </w:r>
      </w:hyperlink>
      <w:r>
        <w:rPr>
          <w:rFonts w:ascii="IBM Plex Mono" w:eastAsia="IBM Plex Mono" w:hAnsi="IBM Plex Mono" w:cs="IBM Plex Mono"/>
          <w:color w:val="71717C"/>
          <w:spacing w:val="6"/>
          <w:sz w:val="15"/>
          <w:szCs w:val="15"/>
        </w:rPr>
        <w:br/>
      </w:r>
      <w:hyperlink r:id="rId7">
        <w:r>
          <w:rPr>
            <w:rFonts w:ascii="IBM Plex Mono" w:eastAsia="IBM Plex Mono" w:hAnsi="IBM Plex Mono" w:cs="IBM Plex Mono"/>
            <w:color w:val="71717C"/>
            <w:spacing w:val="6"/>
            <w:sz w:val="15"/>
            <w:szCs w:val="15"/>
          </w:rPr>
          <w:t>linkedin.com/in/bill-burkart-6626621</w:t>
        </w:r>
      </w:hyperlink>
      <w:r>
        <w:rPr>
          <w:rFonts w:ascii="IBM Plex Mono" w:eastAsia="IBM Plex Mono" w:hAnsi="IBM Plex Mono" w:cs="IBM Plex Mono"/>
          <w:color w:val="71717C"/>
          <w:spacing w:val="6"/>
          <w:sz w:val="15"/>
          <w:szCs w:val="15"/>
        </w:rPr>
        <w:t xml:space="preserve">   ·   </w:t>
      </w:r>
      <w:hyperlink r:id="rId8">
        <w:r>
          <w:rPr>
            <w:rFonts w:ascii="IBM Plex Mono" w:eastAsia="IBM Plex Mono" w:hAnsi="IBM Plex Mono" w:cs="IBM Plex Mono"/>
            <w:color w:val="71717C"/>
            <w:spacing w:val="6"/>
            <w:sz w:val="15"/>
            <w:szCs w:val="15"/>
          </w:rPr>
          <w:t>bburkart.netlify.app</w:t>
        </w:r>
      </w:hyperlink>
    </w:p>
    <w:p w14:paraId="299F8B2A"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Summary</w:t>
      </w:r>
    </w:p>
    <w:p w14:paraId="68AA8D9E" w14:textId="77777777" w:rsidR="00AE714A" w:rsidRDefault="00000000">
      <w:pPr>
        <w:spacing w:after="40" w:line="300" w:lineRule="auto"/>
      </w:pPr>
      <w:r>
        <w:rPr>
          <w:rFonts w:ascii="Inter" w:eastAsia="Inter" w:hAnsi="Inter" w:cs="Inter"/>
          <w:color w:val="26262C"/>
          <w:sz w:val="21"/>
          <w:szCs w:val="21"/>
        </w:rPr>
        <w:t xml:space="preserve">A marketing and growth leader with more than 30 years spent where </w:t>
      </w:r>
      <w:r>
        <w:rPr>
          <w:rFonts w:ascii="Inter" w:eastAsia="Inter" w:hAnsi="Inter" w:cs="Inter"/>
          <w:b/>
          <w:bCs/>
          <w:color w:val="0F0F11"/>
          <w:sz w:val="21"/>
          <w:szCs w:val="21"/>
        </w:rPr>
        <w:t>emotion and evidence stop competing</w:t>
      </w:r>
      <w:r>
        <w:rPr>
          <w:rFonts w:ascii="Inter" w:eastAsia="Inter" w:hAnsi="Inter" w:cs="Inter"/>
          <w:color w:val="26262C"/>
          <w:sz w:val="21"/>
          <w:szCs w:val="21"/>
        </w:rPr>
        <w:t xml:space="preserve"> — uniting brand and creative with data and technology to unlock the growth most companies leave stranded between their teams. Built brands at Grey, the data engines behind them at Acxiom and Wunderman, and led B2B at the scale of WPP’s Global B2B Council. Fluent with the CMO, the CTO, and the CEO, and useful from the first meeting — across enterprise B2B and the consumer brands that think like them.</w:t>
      </w:r>
    </w:p>
    <w:p w14:paraId="7207CB8D"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Areas of Expertise</w:t>
      </w:r>
    </w:p>
    <w:p w14:paraId="3018C24E" w14:textId="77777777" w:rsidR="00AE714A" w:rsidRDefault="00000000">
      <w:pPr>
        <w:spacing w:after="40" w:line="288" w:lineRule="auto"/>
      </w:pPr>
      <w:r>
        <w:rPr>
          <w:rFonts w:ascii="Inter" w:eastAsia="Inter" w:hAnsi="Inter" w:cs="Inter"/>
          <w:color w:val="26262C"/>
        </w:rPr>
        <w:t>Brand strategy &amp; creative leadership   ·   Demand generation &amp; ABM   ·   CRM &amp; marketing technology   ·   Data, analytics &amp; AI implementation   ·   Marketing operating-model transformation   ·   Go-to-market &amp; positioning   ·   Global agency &amp; team leadership   ·   Regulated-industry marketing   ·   B2B and B2C   ·   Fractional &amp; interim leadership</w:t>
      </w:r>
    </w:p>
    <w:p w14:paraId="40E2FB55"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Selected Career Highlights</w:t>
      </w:r>
    </w:p>
    <w:p w14:paraId="5ED0D347"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VML / WPP — </w:t>
      </w:r>
      <w:r>
        <w:rPr>
          <w:rFonts w:ascii="Inter" w:eastAsia="Inter" w:hAnsi="Inter" w:cs="Inter"/>
          <w:color w:val="26262C"/>
          <w:sz w:val="19"/>
          <w:szCs w:val="19"/>
        </w:rPr>
        <w:t>Launched the B2B Hub on WPP Open, giving B2B teams across the network one place to build insight-led communication planning for enterprise buying councils on WPP’s AI toolkit.</w:t>
      </w:r>
    </w:p>
    <w:p w14:paraId="0C463E1C"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Acxiom — </w:t>
      </w:r>
      <w:r>
        <w:rPr>
          <w:rFonts w:ascii="Inter" w:eastAsia="Inter" w:hAnsi="Inter" w:cs="Inter"/>
          <w:color w:val="26262C"/>
          <w:sz w:val="19"/>
          <w:szCs w:val="19"/>
        </w:rPr>
        <w:t>Acquired and reinvented the Skype CRM business globally, exceeding $12M in annual recurring revenue.</w:t>
      </w:r>
    </w:p>
    <w:p w14:paraId="7DC9808D"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Grey San Francisco — </w:t>
      </w:r>
      <w:r>
        <w:rPr>
          <w:rFonts w:ascii="Inter" w:eastAsia="Inter" w:hAnsi="Inter" w:cs="Inter"/>
          <w:color w:val="26262C"/>
          <w:sz w:val="19"/>
          <w:szCs w:val="19"/>
        </w:rPr>
        <w:t>Won the Adobe agency-of-record assignment and took every major Creative Cloud product to market; launched the first Oracle OpenWorld in the U.S. and China, drawing more than 50,000 attendees.</w:t>
      </w:r>
    </w:p>
    <w:p w14:paraId="36558CE5"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Wunderman Thompson Data — </w:t>
      </w:r>
      <w:r>
        <w:rPr>
          <w:rFonts w:ascii="Inter" w:eastAsia="Inter" w:hAnsi="Inter" w:cs="Inter"/>
          <w:color w:val="26262C"/>
          <w:sz w:val="19"/>
          <w:szCs w:val="19"/>
        </w:rPr>
        <w:t>Launched the Adobe Marketing Cloud practice, powering global CRM programs for Air Canada, Marriott and a dozen other enterprises.</w:t>
      </w:r>
    </w:p>
    <w:p w14:paraId="0B0B07C9"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VML / WPP — </w:t>
      </w:r>
      <w:r>
        <w:rPr>
          <w:rFonts w:ascii="Inter" w:eastAsia="Inter" w:hAnsi="Inter" w:cs="Inter"/>
          <w:color w:val="26262C"/>
          <w:sz w:val="19"/>
          <w:szCs w:val="19"/>
        </w:rPr>
        <w:t>Founded the global WPP B2B Community, uniting 100+ B2B experts across 35 agencies to build shared best practice and accelerate client growth.</w:t>
      </w:r>
    </w:p>
    <w:p w14:paraId="41364E49"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Customer Development Corporation — </w:t>
      </w:r>
      <w:r>
        <w:rPr>
          <w:rFonts w:ascii="Inter" w:eastAsia="Inter" w:hAnsi="Inter" w:cs="Inter"/>
          <w:color w:val="26262C"/>
          <w:sz w:val="19"/>
          <w:szCs w:val="19"/>
        </w:rPr>
        <w:t>Invented a comprehensive agent CRM and prospect-development program enabling 20,000+ agents to grow their businesses locally.</w:t>
      </w:r>
    </w:p>
    <w:p w14:paraId="5B661D0F"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Age Wave — </w:t>
      </w:r>
      <w:r>
        <w:rPr>
          <w:rFonts w:ascii="Inter" w:eastAsia="Inter" w:hAnsi="Inter" w:cs="Inter"/>
          <w:color w:val="26262C"/>
          <w:sz w:val="19"/>
          <w:szCs w:val="19"/>
        </w:rPr>
        <w:t>Produced the award-winning PBS documentary “Ageless Heroes” with the Blue Cross Blue Shield Association.</w:t>
      </w:r>
    </w:p>
    <w:p w14:paraId="7775C0C8"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Experience</w:t>
      </w:r>
    </w:p>
    <w:p w14:paraId="7B71ADEA" w14:textId="77777777" w:rsidR="00AE714A" w:rsidRDefault="00000000">
      <w:pPr>
        <w:tabs>
          <w:tab w:val="right" w:pos="10080"/>
        </w:tabs>
        <w:spacing w:before="180" w:after="20"/>
      </w:pPr>
      <w:r>
        <w:rPr>
          <w:rFonts w:ascii="Archivo" w:eastAsia="Archivo" w:hAnsi="Archivo" w:cs="Archivo"/>
          <w:b/>
          <w:bCs/>
          <w:color w:val="0F0F11"/>
          <w:sz w:val="23"/>
          <w:szCs w:val="23"/>
        </w:rPr>
        <w:t>VML (WPP)</w:t>
      </w:r>
      <w:r>
        <w:rPr>
          <w:rFonts w:ascii="Inter" w:eastAsia="Inter" w:hAnsi="Inter" w:cs="Inter"/>
          <w:color w:val="3A3A43"/>
        </w:rPr>
        <w:t xml:space="preserve">  —  President, B2B Practice</w:t>
      </w:r>
      <w:r>
        <w:rPr>
          <w:rFonts w:ascii="IBM Plex Mono" w:eastAsia="IBM Plex Mono" w:hAnsi="IBM Plex Mono" w:cs="IBM Plex Mono"/>
          <w:color w:val="71717C"/>
          <w:spacing w:val="10"/>
          <w:sz w:val="16"/>
          <w:szCs w:val="16"/>
        </w:rPr>
        <w:tab/>
        <w:t>2018 – 2026</w:t>
      </w:r>
    </w:p>
    <w:p w14:paraId="5329F48D"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Led best-practice frameworks across brand experience, customer experience, and commerce for enterprise clients, with emphasis on governance and risk in regulated accounts.</w:t>
      </w:r>
    </w:p>
    <w:p w14:paraId="0B979985"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Chaired the WPP Global B2B Council of 35 agencies, aligning capabilities, standards, and cross-agency delivery on large-scale client programs.</w:t>
      </w:r>
    </w:p>
    <w:p w14:paraId="51E9440E"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Directed enterprise B2B programs from brand stewardship through to demand — data-driven, privacy-compliant, and multi-channel.</w:t>
      </w:r>
    </w:p>
    <w:p w14:paraId="7CE4A486"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Served as B2B leader on the WPP Open Core Team, the network-wide collective of leaders applying the WPP Open AI toolkit to client growth and innovation.</w:t>
      </w:r>
    </w:p>
    <w:p w14:paraId="6A88A7E8"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IBM · Microsoft · Adobe · Oracle · SAP · Dell · Lenovo</w:t>
      </w:r>
    </w:p>
    <w:p w14:paraId="179E599B" w14:textId="77777777" w:rsidR="00AE714A" w:rsidRDefault="00000000">
      <w:pPr>
        <w:tabs>
          <w:tab w:val="right" w:pos="10080"/>
        </w:tabs>
        <w:spacing w:before="180" w:after="20"/>
      </w:pPr>
      <w:r>
        <w:rPr>
          <w:rFonts w:ascii="Archivo" w:eastAsia="Archivo" w:hAnsi="Archivo" w:cs="Archivo"/>
          <w:b/>
          <w:bCs/>
          <w:color w:val="0F0F11"/>
          <w:sz w:val="23"/>
          <w:szCs w:val="23"/>
        </w:rPr>
        <w:t>Wunderman Thompson Data (WPP)</w:t>
      </w:r>
      <w:r>
        <w:rPr>
          <w:rFonts w:ascii="Inter" w:eastAsia="Inter" w:hAnsi="Inter" w:cs="Inter"/>
          <w:color w:val="3A3A43"/>
        </w:rPr>
        <w:t xml:space="preserve">  —  President &amp; Chief Operating Officer</w:t>
      </w:r>
      <w:r>
        <w:rPr>
          <w:rFonts w:ascii="IBM Plex Mono" w:eastAsia="IBM Plex Mono" w:hAnsi="IBM Plex Mono" w:cs="IBM Plex Mono"/>
          <w:color w:val="71717C"/>
          <w:spacing w:val="10"/>
          <w:sz w:val="16"/>
          <w:szCs w:val="16"/>
        </w:rPr>
        <w:tab/>
        <w:t>2014 – 2018</w:t>
      </w:r>
    </w:p>
    <w:p w14:paraId="30E05F7C"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Ran operations and growth across data, consumer engagement, analytics, and customer insight.</w:t>
      </w:r>
    </w:p>
    <w:p w14:paraId="2ABBD929"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lastRenderedPageBreak/>
        <w:t>Rebuilt how a data-driven marketing organization runs, end to end; owned data platforms, security, and governance.</w:t>
      </w:r>
    </w:p>
    <w:p w14:paraId="0386CDD1"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Served on the Executive Management Board; contributed to planning and acquisitions.</w:t>
      </w:r>
    </w:p>
    <w:p w14:paraId="65928F2F" w14:textId="77777777" w:rsidR="00AE714A" w:rsidRDefault="00000000">
      <w:pPr>
        <w:tabs>
          <w:tab w:val="right" w:pos="10080"/>
        </w:tabs>
        <w:spacing w:before="180" w:after="20"/>
      </w:pPr>
      <w:r>
        <w:rPr>
          <w:rFonts w:ascii="Archivo" w:eastAsia="Archivo" w:hAnsi="Archivo" w:cs="Archivo"/>
          <w:b/>
          <w:bCs/>
          <w:color w:val="0F0F11"/>
          <w:sz w:val="23"/>
          <w:szCs w:val="23"/>
        </w:rPr>
        <w:t>Acxiom</w:t>
      </w:r>
      <w:r>
        <w:rPr>
          <w:rFonts w:ascii="Inter" w:eastAsia="Inter" w:hAnsi="Inter" w:cs="Inter"/>
          <w:color w:val="3A3A43"/>
        </w:rPr>
        <w:t xml:space="preserve">  —  Vice President, Global Agency</w:t>
      </w:r>
      <w:r>
        <w:rPr>
          <w:rFonts w:ascii="IBM Plex Mono" w:eastAsia="IBM Plex Mono" w:hAnsi="IBM Plex Mono" w:cs="IBM Plex Mono"/>
          <w:color w:val="71717C"/>
          <w:spacing w:val="10"/>
          <w:sz w:val="16"/>
          <w:szCs w:val="16"/>
        </w:rPr>
        <w:tab/>
        <w:t>2011 – 2014</w:t>
      </w:r>
    </w:p>
    <w:p w14:paraId="428BEA1F"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Led multi-channel CRM and data services for global enterprise clients on the Acxiom email platform and Salesforce Marketing Cloud.</w:t>
      </w:r>
    </w:p>
    <w:p w14:paraId="0CA17E42"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Ran cross-border acquisition and retention programs across jurisdictions and privacy regimes.</w:t>
      </w:r>
    </w:p>
    <w:p w14:paraId="2A755908"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The Gap · Skype · Sephora</w:t>
      </w:r>
    </w:p>
    <w:p w14:paraId="72E56471" w14:textId="77777777" w:rsidR="00AE714A" w:rsidRDefault="00000000">
      <w:pPr>
        <w:tabs>
          <w:tab w:val="right" w:pos="10080"/>
        </w:tabs>
        <w:spacing w:before="180" w:after="20"/>
      </w:pPr>
      <w:r>
        <w:rPr>
          <w:rFonts w:ascii="Archivo" w:eastAsia="Archivo" w:hAnsi="Archivo" w:cs="Archivo"/>
          <w:b/>
          <w:bCs/>
          <w:color w:val="0F0F11"/>
          <w:sz w:val="23"/>
          <w:szCs w:val="23"/>
        </w:rPr>
        <w:t>Goodman &amp; Company</w:t>
      </w:r>
      <w:r>
        <w:rPr>
          <w:rFonts w:ascii="Inter" w:eastAsia="Inter" w:hAnsi="Inter" w:cs="Inter"/>
          <w:color w:val="3A3A43"/>
        </w:rPr>
        <w:t xml:space="preserve">  —  Partner</w:t>
      </w:r>
      <w:r>
        <w:rPr>
          <w:rFonts w:ascii="IBM Plex Mono" w:eastAsia="IBM Plex Mono" w:hAnsi="IBM Plex Mono" w:cs="IBM Plex Mono"/>
          <w:color w:val="71717C"/>
          <w:spacing w:val="10"/>
          <w:sz w:val="16"/>
          <w:szCs w:val="16"/>
        </w:rPr>
        <w:tab/>
        <w:t>2009 – 2011</w:t>
      </w:r>
    </w:p>
    <w:p w14:paraId="654B2967"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Guided marketing-effectiveness, targeting, and lifecycle-value engagements for Global 2000 clients.</w:t>
      </w:r>
    </w:p>
    <w:p w14:paraId="0F80330E"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PayPal · SAP · Capgemini</w:t>
      </w:r>
    </w:p>
    <w:p w14:paraId="4433635F" w14:textId="77777777" w:rsidR="00AE714A" w:rsidRDefault="00000000">
      <w:pPr>
        <w:tabs>
          <w:tab w:val="right" w:pos="10080"/>
        </w:tabs>
        <w:spacing w:before="180" w:after="20"/>
      </w:pPr>
      <w:r>
        <w:rPr>
          <w:rFonts w:ascii="Archivo" w:eastAsia="Archivo" w:hAnsi="Archivo" w:cs="Archivo"/>
          <w:b/>
          <w:bCs/>
          <w:color w:val="0F0F11"/>
          <w:sz w:val="23"/>
          <w:szCs w:val="23"/>
        </w:rPr>
        <w:t>MarketBridge</w:t>
      </w:r>
      <w:r>
        <w:rPr>
          <w:rFonts w:ascii="Inter" w:eastAsia="Inter" w:hAnsi="Inter" w:cs="Inter"/>
          <w:color w:val="3A3A43"/>
        </w:rPr>
        <w:t xml:space="preserve">  —  Group Vice President</w:t>
      </w:r>
      <w:r>
        <w:rPr>
          <w:rFonts w:ascii="IBM Plex Mono" w:eastAsia="IBM Plex Mono" w:hAnsi="IBM Plex Mono" w:cs="IBM Plex Mono"/>
          <w:color w:val="71717C"/>
          <w:spacing w:val="10"/>
          <w:sz w:val="16"/>
          <w:szCs w:val="16"/>
        </w:rPr>
        <w:tab/>
        <w:t>2005 – 2009</w:t>
      </w:r>
    </w:p>
    <w:p w14:paraId="027811B3"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Built multi-channel, analytics-driven marketing programs for technology, financial services, and life sciences.</w:t>
      </w:r>
    </w:p>
    <w:p w14:paraId="534BBFDE"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IBM · SAP · Microsoft</w:t>
      </w:r>
    </w:p>
    <w:p w14:paraId="1C0C7834" w14:textId="77777777" w:rsidR="00AE714A" w:rsidRDefault="00000000">
      <w:pPr>
        <w:tabs>
          <w:tab w:val="right" w:pos="10080"/>
        </w:tabs>
        <w:spacing w:before="180" w:after="20"/>
      </w:pPr>
      <w:r>
        <w:rPr>
          <w:rFonts w:ascii="Archivo" w:eastAsia="Archivo" w:hAnsi="Archivo" w:cs="Archivo"/>
          <w:b/>
          <w:bCs/>
          <w:color w:val="0F0F11"/>
          <w:sz w:val="23"/>
          <w:szCs w:val="23"/>
        </w:rPr>
        <w:t>Grey San Francisco (WPP)</w:t>
      </w:r>
      <w:r>
        <w:rPr>
          <w:rFonts w:ascii="Inter" w:eastAsia="Inter" w:hAnsi="Inter" w:cs="Inter"/>
          <w:color w:val="3A3A43"/>
        </w:rPr>
        <w:t xml:space="preserve">  —  Managing Partner</w:t>
      </w:r>
      <w:r>
        <w:rPr>
          <w:rFonts w:ascii="IBM Plex Mono" w:eastAsia="IBM Plex Mono" w:hAnsi="IBM Plex Mono" w:cs="IBM Plex Mono"/>
          <w:color w:val="71717C"/>
          <w:spacing w:val="10"/>
          <w:sz w:val="16"/>
          <w:szCs w:val="16"/>
        </w:rPr>
        <w:tab/>
        <w:t>1999 – 2004</w:t>
      </w:r>
    </w:p>
    <w:p w14:paraId="256C1120"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Launched the San Francisco B2B Center of Excellence and led development of landmark client relationships.</w:t>
      </w:r>
    </w:p>
    <w:p w14:paraId="3DD9AEE0"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Oracle · Adobe</w:t>
      </w:r>
    </w:p>
    <w:p w14:paraId="63168E55" w14:textId="77777777" w:rsidR="00AE714A" w:rsidRDefault="00000000">
      <w:pPr>
        <w:tabs>
          <w:tab w:val="right" w:pos="10080"/>
        </w:tabs>
        <w:spacing w:before="180" w:after="20"/>
      </w:pPr>
      <w:r>
        <w:rPr>
          <w:rFonts w:ascii="Archivo" w:eastAsia="Archivo" w:hAnsi="Archivo" w:cs="Archivo"/>
          <w:b/>
          <w:bCs/>
          <w:color w:val="0F0F11"/>
          <w:sz w:val="23"/>
          <w:szCs w:val="23"/>
        </w:rPr>
        <w:t>Age Wave</w:t>
      </w:r>
      <w:r>
        <w:rPr>
          <w:rFonts w:ascii="Inter" w:eastAsia="Inter" w:hAnsi="Inter" w:cs="Inter"/>
          <w:color w:val="3A3A43"/>
        </w:rPr>
        <w:t xml:space="preserve">  —  President</w:t>
      </w:r>
      <w:r>
        <w:rPr>
          <w:rFonts w:ascii="IBM Plex Mono" w:eastAsia="IBM Plex Mono" w:hAnsi="IBM Plex Mono" w:cs="IBM Plex Mono"/>
          <w:color w:val="71717C"/>
          <w:spacing w:val="10"/>
          <w:sz w:val="16"/>
          <w:szCs w:val="16"/>
        </w:rPr>
        <w:tab/>
        <w:t>1996 – 1999</w:t>
      </w:r>
    </w:p>
    <w:p w14:paraId="735F2D3D"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Directed marketing at the intersection of aging markets and brand.</w:t>
      </w:r>
    </w:p>
    <w:p w14:paraId="25577F9D"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American Express · Coca-Cola</w:t>
      </w:r>
    </w:p>
    <w:p w14:paraId="28C766A7" w14:textId="77777777" w:rsidR="00AE714A" w:rsidRDefault="00000000">
      <w:pPr>
        <w:tabs>
          <w:tab w:val="right" w:pos="10080"/>
        </w:tabs>
        <w:spacing w:before="180" w:after="20"/>
      </w:pPr>
      <w:r>
        <w:rPr>
          <w:rFonts w:ascii="Archivo" w:eastAsia="Archivo" w:hAnsi="Archivo" w:cs="Archivo"/>
          <w:b/>
          <w:bCs/>
          <w:color w:val="0F0F11"/>
          <w:sz w:val="23"/>
          <w:szCs w:val="23"/>
        </w:rPr>
        <w:t>Customer Development Corporation</w:t>
      </w:r>
      <w:r>
        <w:rPr>
          <w:rFonts w:ascii="Inter" w:eastAsia="Inter" w:hAnsi="Inter" w:cs="Inter"/>
          <w:color w:val="3A3A43"/>
        </w:rPr>
        <w:t xml:space="preserve">  —  President</w:t>
      </w:r>
      <w:r>
        <w:rPr>
          <w:rFonts w:ascii="IBM Plex Mono" w:eastAsia="IBM Plex Mono" w:hAnsi="IBM Plex Mono" w:cs="IBM Plex Mono"/>
          <w:color w:val="71717C"/>
          <w:spacing w:val="10"/>
          <w:sz w:val="16"/>
          <w:szCs w:val="16"/>
        </w:rPr>
        <w:tab/>
        <w:t>1983 – 1996</w:t>
      </w:r>
    </w:p>
    <w:p w14:paraId="04B9EC7D" w14:textId="77777777" w:rsidR="00AE714A" w:rsidRDefault="00000000">
      <w:pPr>
        <w:pStyle w:val="ListParagraph"/>
        <w:numPr>
          <w:ilvl w:val="0"/>
          <w:numId w:val="2"/>
        </w:numPr>
        <w:spacing w:after="60" w:line="262" w:lineRule="auto"/>
      </w:pPr>
      <w:r>
        <w:rPr>
          <w:rFonts w:ascii="Inter" w:eastAsia="Inter" w:hAnsi="Inter" w:cs="Inter"/>
          <w:color w:val="26262C"/>
          <w:sz w:val="19"/>
          <w:szCs w:val="19"/>
        </w:rPr>
        <w:t>Led the country’s fifth-largest CRM agency; built internal data platforms and program execution for major financial and consumer brands.</w:t>
      </w:r>
    </w:p>
    <w:p w14:paraId="6BB22663" w14:textId="77777777" w:rsidR="00AE714A" w:rsidRDefault="00000000">
      <w:pPr>
        <w:spacing w:before="40" w:after="20"/>
      </w:pPr>
      <w:r>
        <w:rPr>
          <w:rFonts w:ascii="IBM Plex Mono" w:eastAsia="IBM Plex Mono" w:hAnsi="IBM Plex Mono" w:cs="IBM Plex Mono"/>
          <w:color w:val="3A3A43"/>
          <w:spacing w:val="20"/>
          <w:sz w:val="15"/>
          <w:szCs w:val="15"/>
        </w:rPr>
        <w:t xml:space="preserve">Clients   </w:t>
      </w:r>
      <w:r>
        <w:rPr>
          <w:rFonts w:ascii="IBM Plex Mono" w:eastAsia="IBM Plex Mono" w:hAnsi="IBM Plex Mono" w:cs="IBM Plex Mono"/>
          <w:color w:val="8A8A93"/>
          <w:spacing w:val="14"/>
          <w:sz w:val="15"/>
          <w:szCs w:val="15"/>
        </w:rPr>
        <w:t>HSBC · Citibank · Allstate · Century 21</w:t>
      </w:r>
    </w:p>
    <w:p w14:paraId="2C779FE6"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Selected Clients</w:t>
      </w:r>
    </w:p>
    <w:p w14:paraId="043DFED1" w14:textId="77777777" w:rsidR="00AE714A" w:rsidRDefault="00000000">
      <w:pPr>
        <w:spacing w:after="40" w:line="300" w:lineRule="auto"/>
      </w:pPr>
      <w:r>
        <w:rPr>
          <w:rFonts w:ascii="Archivo" w:eastAsia="Archivo" w:hAnsi="Archivo" w:cs="Archivo"/>
          <w:b/>
          <w:bCs/>
          <w:color w:val="3A3A43"/>
          <w:sz w:val="21"/>
          <w:szCs w:val="21"/>
        </w:rPr>
        <w:t>IBM · Microsoft · Adobe · Oracle · SAP · Dell · Lenovo · Amazon · T‑Mobile · Nestlé · PayPal · American Express · Coca-Cola</w:t>
      </w:r>
    </w:p>
    <w:p w14:paraId="59655D9C"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Selected Publications</w:t>
      </w:r>
    </w:p>
    <w:p w14:paraId="20C500AA"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REWIRE ’26: The 15 Disrupting Forces Reshaping B2B — </w:t>
      </w:r>
      <w:r>
        <w:rPr>
          <w:rFonts w:ascii="Inter" w:eastAsia="Inter" w:hAnsi="Inter" w:cs="Inter"/>
          <w:color w:val="26262C"/>
          <w:sz w:val="19"/>
          <w:szCs w:val="19"/>
        </w:rPr>
        <w:t>VML, 2026. Co-authored with Dr. Andreas Ortner.</w:t>
      </w:r>
    </w:p>
    <w:p w14:paraId="40B74F2D"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Unlocking the Power of Digital Transformation in B2B — </w:t>
      </w:r>
      <w:r>
        <w:rPr>
          <w:rFonts w:ascii="Inter" w:eastAsia="Inter" w:hAnsi="Inter" w:cs="Inter"/>
          <w:color w:val="26262C"/>
          <w:sz w:val="19"/>
          <w:szCs w:val="19"/>
        </w:rPr>
        <w:t>VML Enterprise Solutions, 2025. A study of 1,500 B2B leaders across eight countries.</w:t>
      </w:r>
    </w:p>
    <w:p w14:paraId="53654DE2" w14:textId="77777777" w:rsidR="00AE714A" w:rsidRDefault="00000000">
      <w:pPr>
        <w:pStyle w:val="ListParagraph"/>
        <w:numPr>
          <w:ilvl w:val="0"/>
          <w:numId w:val="2"/>
        </w:numPr>
        <w:spacing w:after="70" w:line="262" w:lineRule="auto"/>
      </w:pPr>
      <w:r>
        <w:rPr>
          <w:rFonts w:ascii="Archivo" w:eastAsia="Archivo" w:hAnsi="Archivo" w:cs="Archivo"/>
          <w:b/>
          <w:bCs/>
          <w:color w:val="0F0F11"/>
          <w:sz w:val="19"/>
          <w:szCs w:val="19"/>
        </w:rPr>
        <w:t xml:space="preserve">The Secret of Successful ABM — </w:t>
      </w:r>
      <w:r>
        <w:rPr>
          <w:rFonts w:ascii="Inter" w:eastAsia="Inter" w:hAnsi="Inter" w:cs="Inter"/>
          <w:color w:val="26262C"/>
          <w:sz w:val="19"/>
          <w:szCs w:val="19"/>
        </w:rPr>
        <w:t>Wunderman Thompson. Co-author.</w:t>
      </w:r>
    </w:p>
    <w:p w14:paraId="7069BD73" w14:textId="77777777" w:rsidR="00AE714A" w:rsidRDefault="00000000">
      <w:pPr>
        <w:pBdr>
          <w:bottom w:val="single" w:sz="4" w:space="5" w:color="C9C9CE"/>
        </w:pBdr>
        <w:spacing w:before="170" w:after="100"/>
      </w:pPr>
      <w:r>
        <w:rPr>
          <w:rFonts w:ascii="IBM Plex Mono" w:eastAsia="IBM Plex Mono" w:hAnsi="IBM Plex Mono" w:cs="IBM Plex Mono"/>
          <w:caps/>
          <w:color w:val="71717C"/>
          <w:spacing w:val="34"/>
          <w:sz w:val="15"/>
          <w:szCs w:val="15"/>
        </w:rPr>
        <w:t>Education</w:t>
      </w:r>
    </w:p>
    <w:p w14:paraId="2395E9A1" w14:textId="77777777" w:rsidR="00AE714A" w:rsidRDefault="00000000">
      <w:pPr>
        <w:spacing w:after="40"/>
      </w:pPr>
      <w:r>
        <w:rPr>
          <w:rFonts w:ascii="Inter" w:eastAsia="Inter" w:hAnsi="Inter" w:cs="Inter"/>
          <w:b/>
          <w:bCs/>
          <w:color w:val="0F0F11"/>
          <w:sz w:val="21"/>
          <w:szCs w:val="21"/>
        </w:rPr>
        <w:t>Saint Louis University</w:t>
      </w:r>
      <w:r>
        <w:rPr>
          <w:rFonts w:ascii="Inter" w:eastAsia="Inter" w:hAnsi="Inter" w:cs="Inter"/>
          <w:color w:val="26262C"/>
          <w:sz w:val="21"/>
          <w:szCs w:val="21"/>
        </w:rPr>
        <w:t xml:space="preserve"> — B.S. and M.B.A., Marketing</w:t>
      </w:r>
    </w:p>
    <w:sectPr w:rsidR="00AE714A">
      <w:pgSz w:w="12240" w:h="15840"/>
      <w:pgMar w:top="108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mbria"/>
    <w:panose1 w:val="00000000000000000000"/>
    <w:charset w:val="00"/>
    <w:family w:val="roman"/>
    <w:notTrueType/>
    <w:pitch w:val="default"/>
  </w:font>
  <w:font w:name="IBM Plex Mono">
    <w:charset w:val="00"/>
    <w:family w:val="modern"/>
    <w:pitch w:val="fixed"/>
    <w:sig w:usb0="A000026F" w:usb1="5000207B" w:usb2="00000000" w:usb3="00000000" w:csb0="00000197" w:csb1="00000000"/>
  </w:font>
  <w:font w:name="Inter">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2474C"/>
    <w:multiLevelType w:val="hybridMultilevel"/>
    <w:tmpl w:val="D2861F3A"/>
    <w:lvl w:ilvl="0" w:tplc="6FAA6778">
      <w:start w:val="1"/>
      <w:numFmt w:val="bullet"/>
      <w:lvlText w:val="●"/>
      <w:lvlJc w:val="left"/>
      <w:pPr>
        <w:ind w:left="720" w:hanging="360"/>
      </w:pPr>
    </w:lvl>
    <w:lvl w:ilvl="1" w:tplc="05E44564">
      <w:start w:val="1"/>
      <w:numFmt w:val="bullet"/>
      <w:lvlText w:val="○"/>
      <w:lvlJc w:val="left"/>
      <w:pPr>
        <w:ind w:left="1440" w:hanging="360"/>
      </w:pPr>
    </w:lvl>
    <w:lvl w:ilvl="2" w:tplc="9B801782">
      <w:start w:val="1"/>
      <w:numFmt w:val="bullet"/>
      <w:lvlText w:val="■"/>
      <w:lvlJc w:val="left"/>
      <w:pPr>
        <w:ind w:left="2160" w:hanging="360"/>
      </w:pPr>
    </w:lvl>
    <w:lvl w:ilvl="3" w:tplc="374A9DC4">
      <w:start w:val="1"/>
      <w:numFmt w:val="bullet"/>
      <w:lvlText w:val="●"/>
      <w:lvlJc w:val="left"/>
      <w:pPr>
        <w:ind w:left="2880" w:hanging="360"/>
      </w:pPr>
    </w:lvl>
    <w:lvl w:ilvl="4" w:tplc="15F83A24">
      <w:start w:val="1"/>
      <w:numFmt w:val="bullet"/>
      <w:lvlText w:val="○"/>
      <w:lvlJc w:val="left"/>
      <w:pPr>
        <w:ind w:left="3600" w:hanging="360"/>
      </w:pPr>
    </w:lvl>
    <w:lvl w:ilvl="5" w:tplc="045E031E">
      <w:start w:val="1"/>
      <w:numFmt w:val="bullet"/>
      <w:lvlText w:val="■"/>
      <w:lvlJc w:val="left"/>
      <w:pPr>
        <w:ind w:left="4320" w:hanging="360"/>
      </w:pPr>
    </w:lvl>
    <w:lvl w:ilvl="6" w:tplc="FC02810C">
      <w:start w:val="1"/>
      <w:numFmt w:val="bullet"/>
      <w:lvlText w:val="●"/>
      <w:lvlJc w:val="left"/>
      <w:pPr>
        <w:ind w:left="5040" w:hanging="360"/>
      </w:pPr>
    </w:lvl>
    <w:lvl w:ilvl="7" w:tplc="40AA04FE">
      <w:start w:val="1"/>
      <w:numFmt w:val="bullet"/>
      <w:lvlText w:val="●"/>
      <w:lvlJc w:val="left"/>
      <w:pPr>
        <w:ind w:left="5760" w:hanging="360"/>
      </w:pPr>
    </w:lvl>
    <w:lvl w:ilvl="8" w:tplc="D1AC2E5A">
      <w:start w:val="1"/>
      <w:numFmt w:val="bullet"/>
      <w:lvlText w:val="●"/>
      <w:lvlJc w:val="left"/>
      <w:pPr>
        <w:ind w:left="6480" w:hanging="360"/>
      </w:pPr>
    </w:lvl>
  </w:abstractNum>
  <w:abstractNum w:abstractNumId="1" w15:restartNumberingAfterBreak="0">
    <w:nsid w:val="645A3014"/>
    <w:multiLevelType w:val="hybridMultilevel"/>
    <w:tmpl w:val="36829D2A"/>
    <w:lvl w:ilvl="0" w:tplc="02E445E6">
      <w:start w:val="1"/>
      <w:numFmt w:val="bullet"/>
      <w:lvlText w:val="■"/>
      <w:lvlJc w:val="left"/>
      <w:pPr>
        <w:ind w:left="230" w:hanging="170"/>
      </w:pPr>
      <w:rPr>
        <w:color w:val="0F0F11"/>
        <w:sz w:val="12"/>
        <w:szCs w:val="12"/>
      </w:rPr>
    </w:lvl>
    <w:lvl w:ilvl="1" w:tplc="DAB03BBA">
      <w:numFmt w:val="decimal"/>
      <w:lvlText w:val=""/>
      <w:lvlJc w:val="left"/>
    </w:lvl>
    <w:lvl w:ilvl="2" w:tplc="9C62E65E">
      <w:numFmt w:val="decimal"/>
      <w:lvlText w:val=""/>
      <w:lvlJc w:val="left"/>
    </w:lvl>
    <w:lvl w:ilvl="3" w:tplc="521C8CD0">
      <w:numFmt w:val="decimal"/>
      <w:lvlText w:val=""/>
      <w:lvlJc w:val="left"/>
    </w:lvl>
    <w:lvl w:ilvl="4" w:tplc="A5B47D86">
      <w:numFmt w:val="decimal"/>
      <w:lvlText w:val=""/>
      <w:lvlJc w:val="left"/>
    </w:lvl>
    <w:lvl w:ilvl="5" w:tplc="DF267002">
      <w:numFmt w:val="decimal"/>
      <w:lvlText w:val=""/>
      <w:lvlJc w:val="left"/>
    </w:lvl>
    <w:lvl w:ilvl="6" w:tplc="58B225E0">
      <w:numFmt w:val="decimal"/>
      <w:lvlText w:val=""/>
      <w:lvlJc w:val="left"/>
    </w:lvl>
    <w:lvl w:ilvl="7" w:tplc="60AAE560">
      <w:numFmt w:val="decimal"/>
      <w:lvlText w:val=""/>
      <w:lvlJc w:val="left"/>
    </w:lvl>
    <w:lvl w:ilvl="8" w:tplc="36DA95D8">
      <w:numFmt w:val="decimal"/>
      <w:lvlText w:val=""/>
      <w:lvlJc w:val="left"/>
    </w:lvl>
  </w:abstractNum>
  <w:num w:numId="1" w16cid:durableId="464196532">
    <w:abstractNumId w:val="0"/>
    <w:lvlOverride w:ilvl="0">
      <w:startOverride w:val="1"/>
    </w:lvlOverride>
  </w:num>
  <w:num w:numId="2" w16cid:durableId="637280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14A"/>
    <w:rsid w:val="004E5E5B"/>
    <w:rsid w:val="00AE714A"/>
    <w:rsid w:val="00F1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F5B5B2"/>
  <w15:docId w15:val="{434FDB96-7C3B-431B-A501-43430980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burkart.netlify.app" TargetMode="External"/><Relationship Id="rId3" Type="http://schemas.openxmlformats.org/officeDocument/2006/relationships/settings" Target="settings.xml"/><Relationship Id="rId7" Type="http://schemas.openxmlformats.org/officeDocument/2006/relationships/hyperlink" Target="https://www.linkedin.com/in/bill-burkart-66266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4152693863" TargetMode="External"/><Relationship Id="rId5" Type="http://schemas.openxmlformats.org/officeDocument/2006/relationships/hyperlink" Target="mailto:williamburkart@yahoo.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4280</Characters>
  <Application>Microsoft Office Word</Application>
  <DocSecurity>0</DocSecurity>
  <Lines>75</Lines>
  <Paragraphs>53</Paragraphs>
  <ScaleCrop>false</ScaleCrop>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 burkart</cp:lastModifiedBy>
  <cp:revision>2</cp:revision>
  <dcterms:created xsi:type="dcterms:W3CDTF">2026-07-21T19:42:00Z</dcterms:created>
  <dcterms:modified xsi:type="dcterms:W3CDTF">2026-07-21T19:42:00Z</dcterms:modified>
</cp:coreProperties>
</file>